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1C8" w:rsidRDefault="008271C8" w:rsidP="008271C8">
      <w:pPr>
        <w:pStyle w:val="Default"/>
      </w:pPr>
    </w:p>
    <w:p w:rsidR="00E24A7B" w:rsidRDefault="008271C8" w:rsidP="008271C8">
      <w:pPr>
        <w:spacing w:after="0"/>
        <w:jc w:val="center"/>
        <w:rPr>
          <w:b/>
          <w:sz w:val="32"/>
          <w:szCs w:val="32"/>
        </w:rPr>
      </w:pPr>
      <w:r w:rsidRPr="008271C8">
        <w:rPr>
          <w:b/>
          <w:sz w:val="32"/>
          <w:szCs w:val="32"/>
        </w:rPr>
        <w:t xml:space="preserve">Mindestanforderungen an die Planung und den Betrieb von </w:t>
      </w:r>
      <w:r w:rsidR="00DC2F2A">
        <w:rPr>
          <w:b/>
          <w:sz w:val="32"/>
          <w:szCs w:val="32"/>
        </w:rPr>
        <w:t>Regenwassernutzungsanlagen</w:t>
      </w:r>
      <w:r w:rsidRPr="008271C8">
        <w:rPr>
          <w:b/>
          <w:sz w:val="32"/>
          <w:szCs w:val="32"/>
        </w:rPr>
        <w:t xml:space="preserve"> in Gebäuden</w:t>
      </w:r>
    </w:p>
    <w:p w:rsidR="008271C8" w:rsidRDefault="008271C8" w:rsidP="008271C8">
      <w:pPr>
        <w:spacing w:after="0"/>
        <w:jc w:val="center"/>
        <w:rPr>
          <w:b/>
        </w:rPr>
      </w:pPr>
    </w:p>
    <w:p w:rsidR="008271C8" w:rsidRDefault="008271C8" w:rsidP="008271C8">
      <w:pPr>
        <w:pStyle w:val="Default"/>
      </w:pPr>
    </w:p>
    <w:p w:rsidR="008271C8" w:rsidRDefault="008271C8" w:rsidP="008271C8">
      <w:pPr>
        <w:pStyle w:val="Default"/>
      </w:pPr>
    </w:p>
    <w:p w:rsidR="008271C8" w:rsidRDefault="008271C8" w:rsidP="008271C8">
      <w:pPr>
        <w:pStyle w:val="Default"/>
        <w:rPr>
          <w:b/>
          <w:bCs/>
          <w:sz w:val="22"/>
          <w:szCs w:val="22"/>
        </w:rPr>
      </w:pPr>
      <w:r w:rsidRPr="008271C8">
        <w:rPr>
          <w:b/>
          <w:bCs/>
          <w:sz w:val="22"/>
          <w:szCs w:val="22"/>
        </w:rPr>
        <w:t>1</w:t>
      </w:r>
      <w:r>
        <w:rPr>
          <w:b/>
          <w:bCs/>
          <w:sz w:val="22"/>
          <w:szCs w:val="22"/>
        </w:rPr>
        <w:t xml:space="preserve">. Anzeigepflicht der Nutzung von Dachablaufwasser und Regenwasser </w:t>
      </w:r>
    </w:p>
    <w:p w:rsidR="008271C8" w:rsidRDefault="008271C8" w:rsidP="008271C8">
      <w:pPr>
        <w:spacing w:after="0"/>
        <w:rPr>
          <w:rFonts w:ascii="Arial" w:hAnsi="Arial" w:cs="Arial"/>
          <w:color w:val="000000"/>
        </w:rPr>
      </w:pPr>
    </w:p>
    <w:p w:rsidR="008271C8" w:rsidRPr="00234EF7" w:rsidRDefault="008271C8" w:rsidP="008271C8">
      <w:pPr>
        <w:spacing w:after="0"/>
        <w:rPr>
          <w:rFonts w:ascii="Arial" w:hAnsi="Arial" w:cs="Arial"/>
        </w:rPr>
      </w:pPr>
      <w:r w:rsidRPr="00234EF7">
        <w:rPr>
          <w:rFonts w:ascii="Arial" w:hAnsi="Arial" w:cs="Arial"/>
        </w:rPr>
        <w:t>Gemäß § 12 TrinkwV sind die Errichtung (spätestens vier Wochen vor Beginn) und die Stilllegung (innerhalb von drei Tagen nach dieser) einer Nichttrinkwasseranlage dem Gesundheitsamt Landsberg am Lech und dem Zweckverband Wasserversorgungsgruppe Ammersee-West anzuzeigen.</w:t>
      </w:r>
    </w:p>
    <w:p w:rsidR="008271C8" w:rsidRDefault="008271C8" w:rsidP="008271C8">
      <w:pPr>
        <w:spacing w:after="0"/>
      </w:pPr>
    </w:p>
    <w:p w:rsidR="008271C8" w:rsidRDefault="008271C8" w:rsidP="008271C8">
      <w:pPr>
        <w:pStyle w:val="Default"/>
      </w:pPr>
    </w:p>
    <w:p w:rsidR="008271C8" w:rsidRDefault="008271C8" w:rsidP="008271C8">
      <w:pPr>
        <w:pStyle w:val="Default"/>
        <w:rPr>
          <w:b/>
          <w:bCs/>
          <w:sz w:val="22"/>
          <w:szCs w:val="22"/>
        </w:rPr>
      </w:pPr>
      <w:r>
        <w:rPr>
          <w:b/>
          <w:bCs/>
          <w:sz w:val="22"/>
          <w:szCs w:val="22"/>
        </w:rPr>
        <w:t>2. Planung, Ausführung und Betrieb einer Regenwassernutzungsanlage</w:t>
      </w:r>
    </w:p>
    <w:p w:rsidR="008271C8" w:rsidRDefault="008271C8" w:rsidP="008271C8">
      <w:pPr>
        <w:pStyle w:val="Default"/>
        <w:rPr>
          <w:sz w:val="22"/>
          <w:szCs w:val="22"/>
        </w:rPr>
      </w:pPr>
    </w:p>
    <w:p w:rsidR="008271C8" w:rsidRDefault="008271C8" w:rsidP="008271C8">
      <w:pPr>
        <w:pStyle w:val="Default"/>
        <w:rPr>
          <w:sz w:val="22"/>
          <w:szCs w:val="22"/>
        </w:rPr>
      </w:pPr>
      <w:r>
        <w:rPr>
          <w:sz w:val="22"/>
          <w:szCs w:val="22"/>
        </w:rPr>
        <w:t xml:space="preserve">Für die Planung, die Ausführung und den Betrieb einer Regenwassernutzungsanlage sind grundsätzlich folgende gesetzliche Vorgaben und technische Regelwerke zu beachten: </w:t>
      </w:r>
    </w:p>
    <w:p w:rsidR="008271C8" w:rsidRDefault="008271C8" w:rsidP="008271C8">
      <w:pPr>
        <w:pStyle w:val="Default"/>
        <w:rPr>
          <w:sz w:val="22"/>
          <w:szCs w:val="22"/>
        </w:rPr>
      </w:pPr>
    </w:p>
    <w:p w:rsidR="008271C8" w:rsidRDefault="008271C8" w:rsidP="008271C8">
      <w:pPr>
        <w:pStyle w:val="Default"/>
        <w:numPr>
          <w:ilvl w:val="0"/>
          <w:numId w:val="2"/>
        </w:numPr>
        <w:spacing w:after="90"/>
        <w:rPr>
          <w:sz w:val="22"/>
          <w:szCs w:val="22"/>
        </w:rPr>
      </w:pPr>
      <w:r>
        <w:rPr>
          <w:sz w:val="22"/>
          <w:szCs w:val="22"/>
        </w:rPr>
        <w:t xml:space="preserve">TrinkwV „Trinkwasserverordnung“ </w:t>
      </w:r>
    </w:p>
    <w:p w:rsidR="008271C8" w:rsidRDefault="008271C8" w:rsidP="008271C8">
      <w:pPr>
        <w:pStyle w:val="Default"/>
        <w:numPr>
          <w:ilvl w:val="0"/>
          <w:numId w:val="2"/>
        </w:numPr>
        <w:spacing w:after="90"/>
        <w:rPr>
          <w:sz w:val="22"/>
          <w:szCs w:val="22"/>
        </w:rPr>
      </w:pPr>
      <w:proofErr w:type="spellStart"/>
      <w:r>
        <w:rPr>
          <w:sz w:val="22"/>
          <w:szCs w:val="22"/>
        </w:rPr>
        <w:t>AVBWasserV</w:t>
      </w:r>
      <w:proofErr w:type="spellEnd"/>
      <w:r>
        <w:rPr>
          <w:sz w:val="22"/>
          <w:szCs w:val="22"/>
        </w:rPr>
        <w:t xml:space="preserve"> „Allgemeine Bedingungen für die Versorgung mit Wasser“ </w:t>
      </w:r>
    </w:p>
    <w:p w:rsidR="008271C8" w:rsidRDefault="008271C8" w:rsidP="008271C8">
      <w:pPr>
        <w:pStyle w:val="Default"/>
        <w:numPr>
          <w:ilvl w:val="0"/>
          <w:numId w:val="2"/>
        </w:numPr>
        <w:spacing w:after="90"/>
        <w:rPr>
          <w:sz w:val="22"/>
          <w:szCs w:val="22"/>
        </w:rPr>
      </w:pPr>
      <w:r>
        <w:rPr>
          <w:sz w:val="22"/>
          <w:szCs w:val="22"/>
        </w:rPr>
        <w:t xml:space="preserve">DIN EN 16941-1 „Vor-Ort-Anlagen für Nicht-Trinkwasser - Teil 1: Anlagen für </w:t>
      </w:r>
      <w:r w:rsidR="00234EF7">
        <w:rPr>
          <w:sz w:val="22"/>
          <w:szCs w:val="22"/>
        </w:rPr>
        <w:t xml:space="preserve">die </w:t>
      </w:r>
      <w:r w:rsidR="00234EF7">
        <w:rPr>
          <w:sz w:val="22"/>
          <w:szCs w:val="22"/>
        </w:rPr>
        <w:tab/>
      </w:r>
      <w:r>
        <w:rPr>
          <w:sz w:val="22"/>
          <w:szCs w:val="22"/>
        </w:rPr>
        <w:t xml:space="preserve">Verwendung von Regenwasser“ </w:t>
      </w:r>
    </w:p>
    <w:p w:rsidR="008271C8" w:rsidRDefault="008271C8" w:rsidP="008271C8">
      <w:pPr>
        <w:pStyle w:val="Default"/>
        <w:numPr>
          <w:ilvl w:val="0"/>
          <w:numId w:val="2"/>
        </w:numPr>
        <w:spacing w:after="90"/>
        <w:rPr>
          <w:sz w:val="22"/>
          <w:szCs w:val="22"/>
        </w:rPr>
      </w:pPr>
      <w:r>
        <w:rPr>
          <w:sz w:val="22"/>
          <w:szCs w:val="22"/>
        </w:rPr>
        <w:t xml:space="preserve">DIN 1986-100 „Regenwassernutzungsanlagen - Teil 100: Bestimmungen in </w:t>
      </w:r>
      <w:r>
        <w:rPr>
          <w:sz w:val="22"/>
          <w:szCs w:val="22"/>
        </w:rPr>
        <w:tab/>
        <w:t xml:space="preserve">Verbindung mit DIN EN 16941-1“ </w:t>
      </w:r>
    </w:p>
    <w:p w:rsidR="008271C8" w:rsidRDefault="008271C8" w:rsidP="008271C8">
      <w:pPr>
        <w:pStyle w:val="Default"/>
        <w:numPr>
          <w:ilvl w:val="0"/>
          <w:numId w:val="2"/>
        </w:numPr>
        <w:spacing w:after="90"/>
        <w:rPr>
          <w:sz w:val="22"/>
          <w:szCs w:val="22"/>
        </w:rPr>
      </w:pPr>
      <w:r>
        <w:rPr>
          <w:sz w:val="22"/>
          <w:szCs w:val="22"/>
        </w:rPr>
        <w:t xml:space="preserve">ZVSHK T74/1 „Betriebsanleitung Regenwassernutzungsanlagen Betrieb, Inspektion </w:t>
      </w:r>
      <w:r>
        <w:rPr>
          <w:sz w:val="22"/>
          <w:szCs w:val="22"/>
        </w:rPr>
        <w:tab/>
        <w:t xml:space="preserve">und Wartung“ aus dem Jahr 2015 </w:t>
      </w:r>
    </w:p>
    <w:p w:rsidR="008271C8" w:rsidRDefault="008271C8" w:rsidP="008271C8">
      <w:pPr>
        <w:pStyle w:val="Default"/>
        <w:numPr>
          <w:ilvl w:val="0"/>
          <w:numId w:val="2"/>
        </w:numPr>
        <w:spacing w:after="90"/>
        <w:rPr>
          <w:sz w:val="22"/>
          <w:szCs w:val="22"/>
        </w:rPr>
      </w:pPr>
      <w:r>
        <w:rPr>
          <w:sz w:val="22"/>
          <w:szCs w:val="22"/>
        </w:rPr>
        <w:t xml:space="preserve">DVGW </w:t>
      </w:r>
      <w:proofErr w:type="spellStart"/>
      <w:r>
        <w:rPr>
          <w:sz w:val="22"/>
          <w:szCs w:val="22"/>
        </w:rPr>
        <w:t>twin</w:t>
      </w:r>
      <w:proofErr w:type="spellEnd"/>
      <w:r>
        <w:rPr>
          <w:sz w:val="22"/>
          <w:szCs w:val="22"/>
        </w:rPr>
        <w:t xml:space="preserve"> „DVGW-Kompaktinfo Regenwassernutzungsanlagen“, Juli 2025 </w:t>
      </w:r>
    </w:p>
    <w:p w:rsidR="008271C8" w:rsidRDefault="008271C8" w:rsidP="008271C8">
      <w:pPr>
        <w:pStyle w:val="Default"/>
        <w:numPr>
          <w:ilvl w:val="0"/>
          <w:numId w:val="2"/>
        </w:numPr>
        <w:spacing w:after="90"/>
        <w:rPr>
          <w:sz w:val="22"/>
          <w:szCs w:val="22"/>
        </w:rPr>
      </w:pPr>
      <w:r>
        <w:rPr>
          <w:sz w:val="22"/>
          <w:szCs w:val="22"/>
        </w:rPr>
        <w:t xml:space="preserve">DIN EN 1717 „Schutz des Trinkwassers vor Verunreinigungen“ </w:t>
      </w:r>
    </w:p>
    <w:p w:rsidR="008271C8" w:rsidRDefault="008271C8" w:rsidP="008271C8">
      <w:pPr>
        <w:pStyle w:val="Default"/>
        <w:numPr>
          <w:ilvl w:val="0"/>
          <w:numId w:val="2"/>
        </w:numPr>
        <w:spacing w:after="90"/>
        <w:rPr>
          <w:sz w:val="22"/>
          <w:szCs w:val="22"/>
        </w:rPr>
      </w:pPr>
      <w:r>
        <w:rPr>
          <w:sz w:val="22"/>
          <w:szCs w:val="22"/>
        </w:rPr>
        <w:t xml:space="preserve">DIN EN 806 „Technische Regeln für Trinkwasserinstallationen“ </w:t>
      </w:r>
    </w:p>
    <w:p w:rsidR="008271C8" w:rsidRDefault="008271C8" w:rsidP="008271C8">
      <w:pPr>
        <w:pStyle w:val="Default"/>
        <w:numPr>
          <w:ilvl w:val="0"/>
          <w:numId w:val="2"/>
        </w:numPr>
        <w:spacing w:after="90"/>
        <w:rPr>
          <w:sz w:val="22"/>
          <w:szCs w:val="22"/>
        </w:rPr>
      </w:pPr>
      <w:r>
        <w:rPr>
          <w:sz w:val="22"/>
          <w:szCs w:val="22"/>
        </w:rPr>
        <w:t xml:space="preserve">DIN 1988 „Technische Regeln für Trinkwasser-Installationen“ </w:t>
      </w:r>
    </w:p>
    <w:p w:rsidR="008271C8" w:rsidRDefault="008271C8" w:rsidP="008271C8">
      <w:pPr>
        <w:pStyle w:val="Default"/>
        <w:numPr>
          <w:ilvl w:val="0"/>
          <w:numId w:val="2"/>
        </w:numPr>
        <w:spacing w:after="90"/>
        <w:rPr>
          <w:sz w:val="22"/>
          <w:szCs w:val="22"/>
        </w:rPr>
      </w:pPr>
      <w:r>
        <w:rPr>
          <w:sz w:val="22"/>
          <w:szCs w:val="22"/>
        </w:rPr>
        <w:t xml:space="preserve">DIN 1989 „Regenwassernutzungsanlagen“ </w:t>
      </w:r>
    </w:p>
    <w:p w:rsidR="008271C8" w:rsidRDefault="008271C8" w:rsidP="008271C8">
      <w:pPr>
        <w:pStyle w:val="Default"/>
        <w:numPr>
          <w:ilvl w:val="0"/>
          <w:numId w:val="2"/>
        </w:numPr>
        <w:spacing w:after="90"/>
        <w:rPr>
          <w:sz w:val="22"/>
          <w:szCs w:val="22"/>
        </w:rPr>
      </w:pPr>
      <w:r>
        <w:rPr>
          <w:sz w:val="22"/>
          <w:szCs w:val="22"/>
        </w:rPr>
        <w:t xml:space="preserve">DIN 2403 „Kennzeichnung von Rohrleitungen“ </w:t>
      </w:r>
    </w:p>
    <w:p w:rsidR="008271C8" w:rsidRDefault="008271C8" w:rsidP="008271C8">
      <w:pPr>
        <w:pStyle w:val="Default"/>
        <w:numPr>
          <w:ilvl w:val="0"/>
          <w:numId w:val="2"/>
        </w:numPr>
        <w:rPr>
          <w:sz w:val="22"/>
          <w:szCs w:val="22"/>
        </w:rPr>
      </w:pPr>
      <w:r>
        <w:rPr>
          <w:sz w:val="22"/>
          <w:szCs w:val="22"/>
        </w:rPr>
        <w:t xml:space="preserve">DIN EN 12056 „Schwerkraftentwässerungsanlagen innerhalb von Gebäuden“ </w:t>
      </w:r>
    </w:p>
    <w:p w:rsidR="008271C8" w:rsidRDefault="008271C8" w:rsidP="008271C8">
      <w:pPr>
        <w:pStyle w:val="Default"/>
        <w:rPr>
          <w:sz w:val="22"/>
          <w:szCs w:val="22"/>
        </w:rPr>
      </w:pPr>
    </w:p>
    <w:p w:rsidR="002A0778" w:rsidRDefault="002A0778" w:rsidP="008271C8">
      <w:pPr>
        <w:pStyle w:val="Default"/>
        <w:rPr>
          <w:sz w:val="22"/>
          <w:szCs w:val="22"/>
        </w:rPr>
      </w:pPr>
    </w:p>
    <w:p w:rsidR="005A0501" w:rsidRDefault="005A0501" w:rsidP="008271C8">
      <w:pPr>
        <w:pStyle w:val="Default"/>
        <w:rPr>
          <w:sz w:val="22"/>
          <w:szCs w:val="22"/>
        </w:rPr>
      </w:pPr>
    </w:p>
    <w:p w:rsidR="008271C8" w:rsidRPr="002A0778" w:rsidRDefault="008271C8" w:rsidP="008271C8">
      <w:pPr>
        <w:spacing w:after="0"/>
        <w:rPr>
          <w:rFonts w:ascii="Arial" w:hAnsi="Arial" w:cs="Arial"/>
        </w:rPr>
      </w:pPr>
      <w:r w:rsidRPr="002A0778">
        <w:rPr>
          <w:rFonts w:ascii="Arial" w:hAnsi="Arial" w:cs="Arial"/>
        </w:rPr>
        <w:t>Wir weisen darauf hin, dass die obige Auflistung keinen Anspruch auf Vollständigkeit und Aktualität erhebt!</w:t>
      </w:r>
    </w:p>
    <w:p w:rsidR="008271C8" w:rsidRDefault="008271C8" w:rsidP="008271C8">
      <w:pPr>
        <w:spacing w:after="0"/>
        <w:rPr>
          <w:b/>
        </w:rPr>
      </w:pPr>
    </w:p>
    <w:p w:rsidR="008271C8" w:rsidRDefault="008271C8" w:rsidP="008271C8">
      <w:pPr>
        <w:spacing w:after="0"/>
        <w:rPr>
          <w:b/>
        </w:rPr>
      </w:pPr>
    </w:p>
    <w:p w:rsidR="009E0446" w:rsidRDefault="009E0446" w:rsidP="008271C8">
      <w:pPr>
        <w:autoSpaceDE w:val="0"/>
        <w:autoSpaceDN w:val="0"/>
        <w:adjustRightInd w:val="0"/>
        <w:spacing w:after="0" w:line="240" w:lineRule="auto"/>
        <w:rPr>
          <w:rFonts w:ascii="Arial" w:hAnsi="Arial" w:cs="Arial"/>
          <w:b/>
          <w:bCs/>
          <w:color w:val="000000"/>
        </w:rPr>
      </w:pPr>
    </w:p>
    <w:p w:rsidR="002A0778" w:rsidRDefault="002A0778" w:rsidP="008271C8">
      <w:pPr>
        <w:autoSpaceDE w:val="0"/>
        <w:autoSpaceDN w:val="0"/>
        <w:adjustRightInd w:val="0"/>
        <w:spacing w:after="0" w:line="240" w:lineRule="auto"/>
        <w:rPr>
          <w:rFonts w:ascii="Arial" w:hAnsi="Arial" w:cs="Arial"/>
          <w:b/>
          <w:bCs/>
          <w:color w:val="000000"/>
        </w:rPr>
      </w:pPr>
    </w:p>
    <w:p w:rsidR="002A0778" w:rsidRDefault="002A0778" w:rsidP="008271C8">
      <w:pPr>
        <w:autoSpaceDE w:val="0"/>
        <w:autoSpaceDN w:val="0"/>
        <w:adjustRightInd w:val="0"/>
        <w:spacing w:after="0" w:line="240" w:lineRule="auto"/>
        <w:rPr>
          <w:rFonts w:ascii="Arial" w:hAnsi="Arial" w:cs="Arial"/>
          <w:b/>
          <w:bCs/>
          <w:color w:val="000000"/>
        </w:rPr>
      </w:pPr>
    </w:p>
    <w:p w:rsidR="002A0778" w:rsidRDefault="002A0778" w:rsidP="008271C8">
      <w:pPr>
        <w:autoSpaceDE w:val="0"/>
        <w:autoSpaceDN w:val="0"/>
        <w:adjustRightInd w:val="0"/>
        <w:spacing w:after="0" w:line="240" w:lineRule="auto"/>
        <w:rPr>
          <w:rFonts w:ascii="Arial" w:hAnsi="Arial" w:cs="Arial"/>
          <w:b/>
          <w:bCs/>
          <w:color w:val="000000"/>
        </w:rPr>
      </w:pPr>
    </w:p>
    <w:p w:rsidR="009E0446" w:rsidRDefault="009E0446" w:rsidP="008271C8">
      <w:pPr>
        <w:autoSpaceDE w:val="0"/>
        <w:autoSpaceDN w:val="0"/>
        <w:adjustRightInd w:val="0"/>
        <w:spacing w:after="0" w:line="240" w:lineRule="auto"/>
        <w:rPr>
          <w:rFonts w:ascii="Arial" w:hAnsi="Arial" w:cs="Arial"/>
          <w:b/>
          <w:bCs/>
          <w:color w:val="000000"/>
        </w:rPr>
      </w:pPr>
    </w:p>
    <w:p w:rsidR="009E0446" w:rsidRDefault="009E0446" w:rsidP="008271C8">
      <w:pPr>
        <w:autoSpaceDE w:val="0"/>
        <w:autoSpaceDN w:val="0"/>
        <w:adjustRightInd w:val="0"/>
        <w:spacing w:after="0" w:line="240" w:lineRule="auto"/>
        <w:rPr>
          <w:rFonts w:ascii="Arial" w:hAnsi="Arial" w:cs="Arial"/>
          <w:b/>
          <w:bCs/>
          <w:color w:val="000000"/>
        </w:rPr>
      </w:pPr>
    </w:p>
    <w:p w:rsidR="009E0446" w:rsidRDefault="009E0446" w:rsidP="008271C8">
      <w:pPr>
        <w:autoSpaceDE w:val="0"/>
        <w:autoSpaceDN w:val="0"/>
        <w:adjustRightInd w:val="0"/>
        <w:spacing w:after="0" w:line="240" w:lineRule="auto"/>
        <w:rPr>
          <w:rFonts w:ascii="Arial" w:hAnsi="Arial" w:cs="Arial"/>
          <w:b/>
          <w:bCs/>
          <w:color w:val="000000"/>
        </w:rPr>
      </w:pPr>
    </w:p>
    <w:p w:rsidR="00DC2F2A" w:rsidRDefault="00DC2F2A" w:rsidP="008271C8">
      <w:pPr>
        <w:autoSpaceDE w:val="0"/>
        <w:autoSpaceDN w:val="0"/>
        <w:adjustRightInd w:val="0"/>
        <w:spacing w:after="0" w:line="240" w:lineRule="auto"/>
        <w:rPr>
          <w:rFonts w:ascii="Arial" w:hAnsi="Arial" w:cs="Arial"/>
          <w:b/>
          <w:bCs/>
          <w:color w:val="000000"/>
        </w:rPr>
      </w:pPr>
      <w:bookmarkStart w:id="0" w:name="_GoBack"/>
      <w:bookmarkEnd w:id="0"/>
    </w:p>
    <w:p w:rsidR="008271C8" w:rsidRDefault="008271C8" w:rsidP="008271C8">
      <w:pPr>
        <w:autoSpaceDE w:val="0"/>
        <w:autoSpaceDN w:val="0"/>
        <w:adjustRightInd w:val="0"/>
        <w:spacing w:after="0" w:line="240" w:lineRule="auto"/>
        <w:rPr>
          <w:rFonts w:ascii="Arial" w:hAnsi="Arial" w:cs="Arial"/>
          <w:b/>
          <w:bCs/>
          <w:color w:val="000000"/>
        </w:rPr>
      </w:pPr>
      <w:r w:rsidRPr="008271C8">
        <w:rPr>
          <w:rFonts w:ascii="Arial" w:hAnsi="Arial" w:cs="Arial"/>
          <w:b/>
          <w:bCs/>
          <w:color w:val="000000"/>
        </w:rPr>
        <w:lastRenderedPageBreak/>
        <w:t xml:space="preserve">3. Trennung der Leitungssysteme, Nachspeisung, Pumpen </w:t>
      </w:r>
    </w:p>
    <w:p w:rsidR="008271C8" w:rsidRPr="008271C8" w:rsidRDefault="008271C8" w:rsidP="008271C8">
      <w:pPr>
        <w:autoSpaceDE w:val="0"/>
        <w:autoSpaceDN w:val="0"/>
        <w:adjustRightInd w:val="0"/>
        <w:spacing w:after="0" w:line="240" w:lineRule="auto"/>
        <w:rPr>
          <w:rFonts w:ascii="Arial" w:hAnsi="Arial" w:cs="Arial"/>
          <w:color w:val="000000"/>
        </w:rPr>
      </w:pPr>
    </w:p>
    <w:p w:rsidR="008271C8" w:rsidRDefault="008271C8" w:rsidP="008271C8">
      <w:pPr>
        <w:autoSpaceDE w:val="0"/>
        <w:autoSpaceDN w:val="0"/>
        <w:adjustRightInd w:val="0"/>
        <w:spacing w:after="0" w:line="240" w:lineRule="auto"/>
        <w:rPr>
          <w:rFonts w:ascii="Arial" w:hAnsi="Arial" w:cs="Arial"/>
          <w:color w:val="000000"/>
        </w:rPr>
      </w:pPr>
      <w:r w:rsidRPr="008271C8">
        <w:rPr>
          <w:rFonts w:ascii="Arial" w:hAnsi="Arial" w:cs="Arial"/>
          <w:color w:val="000000"/>
        </w:rPr>
        <w:t xml:space="preserve">Für jede Regenwassernutzungsanlage ist ein eigenes Leitungssystem zu errichten. Dies bedeutet, dass sowohl bei der Wasserbevorratung als auch in der Trinkwasserinstallation (bspw. an den WC-Spülkästen) auf eine strikte Trennung von Trinkwasserleitungssystem und Regenwasserleitungssystem zu achten ist. </w:t>
      </w:r>
    </w:p>
    <w:p w:rsidR="002A0778" w:rsidRPr="008271C8" w:rsidRDefault="002A0778" w:rsidP="008271C8">
      <w:pPr>
        <w:autoSpaceDE w:val="0"/>
        <w:autoSpaceDN w:val="0"/>
        <w:adjustRightInd w:val="0"/>
        <w:spacing w:after="0" w:line="240" w:lineRule="auto"/>
        <w:rPr>
          <w:rFonts w:ascii="Arial" w:hAnsi="Arial" w:cs="Arial"/>
          <w:color w:val="000000"/>
        </w:rPr>
      </w:pPr>
    </w:p>
    <w:p w:rsidR="008271C8" w:rsidRDefault="008271C8" w:rsidP="008271C8">
      <w:pPr>
        <w:autoSpaceDE w:val="0"/>
        <w:autoSpaceDN w:val="0"/>
        <w:adjustRightInd w:val="0"/>
        <w:spacing w:after="0" w:line="240" w:lineRule="auto"/>
        <w:rPr>
          <w:rFonts w:ascii="Arial" w:hAnsi="Arial" w:cs="Arial"/>
          <w:color w:val="000000"/>
        </w:rPr>
      </w:pPr>
      <w:r w:rsidRPr="008271C8">
        <w:rPr>
          <w:rFonts w:ascii="Arial" w:hAnsi="Arial" w:cs="Arial"/>
          <w:color w:val="000000"/>
        </w:rPr>
        <w:t xml:space="preserve">Die Funktionstüchtigkeit der Anlage ist auch für niederschlagsarme Zeiten zu gewährleisten. Zu diesem Zweck ist die Nachspeisung von Trinkwasser über einen ungehinderten freien Auslauf des Typs AA nach EN 13076 oder des Typs AB nach EN 13077 vorzusehen. </w:t>
      </w:r>
    </w:p>
    <w:p w:rsidR="008271C8" w:rsidRDefault="008271C8" w:rsidP="008271C8">
      <w:pPr>
        <w:autoSpaceDE w:val="0"/>
        <w:autoSpaceDN w:val="0"/>
        <w:adjustRightInd w:val="0"/>
        <w:spacing w:after="0" w:line="240" w:lineRule="auto"/>
        <w:rPr>
          <w:rFonts w:ascii="Arial" w:hAnsi="Arial" w:cs="Arial"/>
          <w:color w:val="000000"/>
        </w:rPr>
      </w:pPr>
      <w:r w:rsidRPr="008271C8">
        <w:rPr>
          <w:rFonts w:ascii="Arial" w:hAnsi="Arial" w:cs="Arial"/>
          <w:color w:val="000000"/>
        </w:rPr>
        <w:t>In diesem Zusammenhang sind insbesondere die Vorgaben der DIN EN 806 in Verbindung mit der der DIN 1988 sowie der DIN EN 1717 zu beachten.</w:t>
      </w:r>
    </w:p>
    <w:p w:rsidR="008271C8" w:rsidRDefault="008271C8" w:rsidP="008271C8">
      <w:pPr>
        <w:autoSpaceDE w:val="0"/>
        <w:autoSpaceDN w:val="0"/>
        <w:adjustRightInd w:val="0"/>
        <w:spacing w:after="0" w:line="240" w:lineRule="auto"/>
        <w:rPr>
          <w:rFonts w:ascii="Arial" w:hAnsi="Arial" w:cs="Arial"/>
          <w:color w:val="000000"/>
        </w:rPr>
      </w:pPr>
      <w:r w:rsidRPr="008271C8">
        <w:rPr>
          <w:rFonts w:ascii="Arial" w:hAnsi="Arial" w:cs="Arial"/>
          <w:color w:val="000000"/>
        </w:rPr>
        <w:t xml:space="preserve"> </w:t>
      </w:r>
    </w:p>
    <w:p w:rsidR="008271C8" w:rsidRPr="008271C8" w:rsidRDefault="008271C8" w:rsidP="008271C8">
      <w:pPr>
        <w:autoSpaceDE w:val="0"/>
        <w:autoSpaceDN w:val="0"/>
        <w:adjustRightInd w:val="0"/>
        <w:spacing w:after="0" w:line="240" w:lineRule="auto"/>
        <w:rPr>
          <w:rFonts w:ascii="Arial" w:hAnsi="Arial" w:cs="Arial"/>
          <w:color w:val="000000"/>
        </w:rPr>
      </w:pPr>
      <w:r w:rsidRPr="008271C8">
        <w:rPr>
          <w:rFonts w:ascii="Arial" w:hAnsi="Arial" w:cs="Arial"/>
          <w:color w:val="000000"/>
        </w:rPr>
        <w:t xml:space="preserve">Inspektion und Wartung eines freien Auslaufs sind in Anhang B1 der EN 806-5 beschrieben. </w:t>
      </w:r>
    </w:p>
    <w:p w:rsidR="008271C8" w:rsidRDefault="008271C8" w:rsidP="008271C8">
      <w:pPr>
        <w:autoSpaceDE w:val="0"/>
        <w:autoSpaceDN w:val="0"/>
        <w:adjustRightInd w:val="0"/>
        <w:spacing w:after="0" w:line="240" w:lineRule="auto"/>
        <w:rPr>
          <w:rFonts w:ascii="Arial" w:hAnsi="Arial" w:cs="Arial"/>
          <w:color w:val="000000"/>
        </w:rPr>
      </w:pPr>
      <w:r w:rsidRPr="008271C8">
        <w:rPr>
          <w:rFonts w:ascii="Arial" w:hAnsi="Arial" w:cs="Arial"/>
          <w:color w:val="000000"/>
        </w:rPr>
        <w:t xml:space="preserve">Eine Möglichkeit der Überflutung der Nachspeisung muss ausgeschlossen werden, zum Beispiel durch Installation der Nachspeisung oberhalb der Rückstaulinie (vgl. Bild B.1, DIN EN 16941-1). </w:t>
      </w:r>
    </w:p>
    <w:p w:rsidR="008271C8" w:rsidRPr="008271C8" w:rsidRDefault="008271C8" w:rsidP="008271C8">
      <w:pPr>
        <w:autoSpaceDE w:val="0"/>
        <w:autoSpaceDN w:val="0"/>
        <w:adjustRightInd w:val="0"/>
        <w:spacing w:after="0" w:line="240" w:lineRule="auto"/>
        <w:rPr>
          <w:rFonts w:ascii="Arial" w:hAnsi="Arial" w:cs="Arial"/>
          <w:color w:val="000000"/>
        </w:rPr>
      </w:pPr>
    </w:p>
    <w:p w:rsidR="008271C8" w:rsidRPr="00234EF7" w:rsidRDefault="008271C8" w:rsidP="008271C8">
      <w:pPr>
        <w:spacing w:after="0"/>
        <w:rPr>
          <w:rFonts w:ascii="Arial" w:hAnsi="Arial" w:cs="Arial"/>
          <w:b/>
        </w:rPr>
      </w:pPr>
      <w:r w:rsidRPr="008271C8">
        <w:rPr>
          <w:rFonts w:ascii="Arial" w:hAnsi="Arial" w:cs="Arial"/>
          <w:color w:val="000000"/>
        </w:rPr>
        <w:t xml:space="preserve">Falls die Anlage das Nichttrinkwasser nicht durch Schwerkraft, sondern durch Pumpen verteilt, müssen alle Pumpen, um einen </w:t>
      </w:r>
      <w:r w:rsidRPr="00234EF7">
        <w:rPr>
          <w:rFonts w:ascii="Arial" w:hAnsi="Arial" w:cs="Arial"/>
          <w:color w:val="000000"/>
        </w:rPr>
        <w:t>Rückfluss</w:t>
      </w:r>
      <w:r w:rsidR="00234EF7" w:rsidRPr="00234EF7">
        <w:rPr>
          <w:rFonts w:ascii="Arial" w:hAnsi="Arial" w:cs="Arial"/>
          <w:color w:val="000000"/>
        </w:rPr>
        <w:t xml:space="preserve"> </w:t>
      </w:r>
      <w:r w:rsidR="00234EF7" w:rsidRPr="00234EF7">
        <w:rPr>
          <w:rFonts w:ascii="Arial" w:hAnsi="Arial" w:cs="Arial"/>
        </w:rPr>
        <w:t>zu verhindern, mit einem Rückschlagventil ausgestattet sein.</w:t>
      </w:r>
    </w:p>
    <w:p w:rsidR="008271C8" w:rsidRDefault="008271C8" w:rsidP="008271C8">
      <w:pPr>
        <w:spacing w:after="0"/>
        <w:rPr>
          <w:b/>
        </w:rPr>
      </w:pPr>
    </w:p>
    <w:p w:rsidR="00234EF7" w:rsidRDefault="00234EF7" w:rsidP="008271C8">
      <w:pPr>
        <w:spacing w:after="0"/>
        <w:rPr>
          <w:b/>
        </w:rPr>
      </w:pPr>
    </w:p>
    <w:p w:rsidR="00234EF7" w:rsidRDefault="00234EF7" w:rsidP="00234EF7">
      <w:pPr>
        <w:autoSpaceDE w:val="0"/>
        <w:autoSpaceDN w:val="0"/>
        <w:adjustRightInd w:val="0"/>
        <w:spacing w:after="0" w:line="240" w:lineRule="auto"/>
        <w:rPr>
          <w:rFonts w:ascii="Arial" w:hAnsi="Arial" w:cs="Arial"/>
          <w:b/>
          <w:bCs/>
          <w:color w:val="000000"/>
        </w:rPr>
      </w:pPr>
      <w:r w:rsidRPr="00234EF7">
        <w:rPr>
          <w:rFonts w:ascii="Arial" w:hAnsi="Arial" w:cs="Arial"/>
          <w:b/>
          <w:bCs/>
          <w:color w:val="000000"/>
        </w:rPr>
        <w:t xml:space="preserve">4. Kennzeichnung der Leitungssysteme </w:t>
      </w:r>
    </w:p>
    <w:p w:rsidR="00234EF7" w:rsidRPr="00234EF7" w:rsidRDefault="00234EF7" w:rsidP="00234EF7">
      <w:pPr>
        <w:autoSpaceDE w:val="0"/>
        <w:autoSpaceDN w:val="0"/>
        <w:adjustRightInd w:val="0"/>
        <w:spacing w:after="0" w:line="240" w:lineRule="auto"/>
        <w:rPr>
          <w:rFonts w:ascii="Arial" w:hAnsi="Arial" w:cs="Arial"/>
          <w:color w:val="000000"/>
        </w:rPr>
      </w:pPr>
    </w:p>
    <w:p w:rsidR="00234EF7" w:rsidRDefault="00234EF7" w:rsidP="00234EF7">
      <w:pPr>
        <w:autoSpaceDE w:val="0"/>
        <w:autoSpaceDN w:val="0"/>
        <w:adjustRightInd w:val="0"/>
        <w:spacing w:after="0" w:line="240" w:lineRule="auto"/>
        <w:rPr>
          <w:rFonts w:ascii="Arial" w:hAnsi="Arial" w:cs="Arial"/>
          <w:color w:val="000000"/>
        </w:rPr>
      </w:pPr>
      <w:r w:rsidRPr="00234EF7">
        <w:rPr>
          <w:rFonts w:ascii="Arial" w:hAnsi="Arial" w:cs="Arial"/>
          <w:color w:val="000000"/>
        </w:rPr>
        <w:t xml:space="preserve">Um eine Verwechslung mit Trinkwasserleitungen auszuschließen müssen </w:t>
      </w:r>
      <w:r w:rsidRPr="00234EF7">
        <w:rPr>
          <w:rFonts w:ascii="Arial" w:hAnsi="Arial" w:cs="Arial"/>
          <w:b/>
          <w:color w:val="000000"/>
        </w:rPr>
        <w:t xml:space="preserve">alle </w:t>
      </w:r>
      <w:r w:rsidRPr="00234EF7">
        <w:rPr>
          <w:rFonts w:ascii="Arial" w:hAnsi="Arial" w:cs="Arial"/>
          <w:color w:val="000000"/>
        </w:rPr>
        <w:t>Leitungen der Nichttrinkwasseranlage dauerhaft, unverwechselbar und deutlich sichtbar als solche gekennzeichnet (§ 13 Absatz 4 TrinkwV)</w:t>
      </w:r>
      <w:r w:rsidR="002A0778">
        <w:rPr>
          <w:rFonts w:ascii="Arial" w:hAnsi="Arial" w:cs="Arial"/>
          <w:color w:val="000000"/>
        </w:rPr>
        <w:t xml:space="preserve"> werden</w:t>
      </w:r>
      <w:r w:rsidRPr="00234EF7">
        <w:rPr>
          <w:rFonts w:ascii="Arial" w:hAnsi="Arial" w:cs="Arial"/>
          <w:color w:val="000000"/>
        </w:rPr>
        <w:t xml:space="preserve">. </w:t>
      </w:r>
    </w:p>
    <w:p w:rsidR="00234EF7" w:rsidRPr="00234EF7" w:rsidRDefault="00234EF7" w:rsidP="00234EF7">
      <w:pPr>
        <w:autoSpaceDE w:val="0"/>
        <w:autoSpaceDN w:val="0"/>
        <w:adjustRightInd w:val="0"/>
        <w:spacing w:after="0" w:line="240" w:lineRule="auto"/>
        <w:rPr>
          <w:rFonts w:ascii="Arial" w:hAnsi="Arial" w:cs="Arial"/>
          <w:color w:val="000000"/>
        </w:rPr>
      </w:pPr>
    </w:p>
    <w:p w:rsidR="00234EF7" w:rsidRDefault="00234EF7" w:rsidP="00234EF7">
      <w:pPr>
        <w:autoSpaceDE w:val="0"/>
        <w:autoSpaceDN w:val="0"/>
        <w:adjustRightInd w:val="0"/>
        <w:spacing w:after="0" w:line="240" w:lineRule="auto"/>
        <w:rPr>
          <w:rFonts w:ascii="Arial" w:hAnsi="Arial" w:cs="Arial"/>
          <w:color w:val="000000"/>
        </w:rPr>
      </w:pPr>
      <w:r w:rsidRPr="00234EF7">
        <w:rPr>
          <w:rFonts w:ascii="Arial" w:hAnsi="Arial" w:cs="Arial"/>
          <w:color w:val="000000"/>
        </w:rPr>
        <w:t xml:space="preserve">Aufputzleitungen sollten zu diesem Zweck in einem Abstand von maximal zwei Metern mit Klebefahnen versehen werden; bei Unterputzleitungen ist parallel ein Trassenband zu verlegen. Sowohl die Klebefahnen als auch das Trassenband müssen nach TrinkwV und DIN 2403 den Aufdruck „Kein Trinkwasser“ aufweisen. </w:t>
      </w:r>
    </w:p>
    <w:p w:rsidR="00234EF7" w:rsidRPr="00234EF7" w:rsidRDefault="00234EF7" w:rsidP="00234EF7">
      <w:pPr>
        <w:autoSpaceDE w:val="0"/>
        <w:autoSpaceDN w:val="0"/>
        <w:adjustRightInd w:val="0"/>
        <w:spacing w:after="0" w:line="240" w:lineRule="auto"/>
        <w:rPr>
          <w:rFonts w:ascii="Arial" w:hAnsi="Arial" w:cs="Arial"/>
          <w:color w:val="000000"/>
        </w:rPr>
      </w:pPr>
    </w:p>
    <w:p w:rsidR="00234EF7" w:rsidRDefault="00234EF7" w:rsidP="00234EF7">
      <w:pPr>
        <w:autoSpaceDE w:val="0"/>
        <w:autoSpaceDN w:val="0"/>
        <w:adjustRightInd w:val="0"/>
        <w:spacing w:after="0" w:line="240" w:lineRule="auto"/>
        <w:rPr>
          <w:rFonts w:ascii="Arial" w:hAnsi="Arial" w:cs="Arial"/>
          <w:color w:val="000000"/>
        </w:rPr>
      </w:pPr>
      <w:r w:rsidRPr="00234EF7">
        <w:rPr>
          <w:rFonts w:ascii="Arial" w:hAnsi="Arial" w:cs="Arial"/>
          <w:color w:val="000000"/>
        </w:rPr>
        <w:t xml:space="preserve">Darüber hinaus wird empfohlen, an der Trinkwassereinspeisung eine Beschilderung anzubringen, die auf die Installation einer Regenwassernutzungsanlage im Gebäude und den zwingenden Ausschluss von Querverbindungen zwischen Trinkwasser- und Regenwasserleitungsnetz hinweist. </w:t>
      </w:r>
    </w:p>
    <w:p w:rsidR="00234EF7" w:rsidRPr="00234EF7" w:rsidRDefault="00234EF7" w:rsidP="00234EF7">
      <w:pPr>
        <w:autoSpaceDE w:val="0"/>
        <w:autoSpaceDN w:val="0"/>
        <w:adjustRightInd w:val="0"/>
        <w:spacing w:after="0" w:line="240" w:lineRule="auto"/>
        <w:rPr>
          <w:rFonts w:ascii="Arial" w:hAnsi="Arial" w:cs="Arial"/>
          <w:color w:val="000000"/>
        </w:rPr>
      </w:pPr>
    </w:p>
    <w:p w:rsidR="00234EF7" w:rsidRDefault="00234EF7" w:rsidP="00234EF7">
      <w:pPr>
        <w:spacing w:after="0"/>
        <w:rPr>
          <w:rFonts w:ascii="Arial" w:hAnsi="Arial" w:cs="Arial"/>
          <w:color w:val="000000"/>
        </w:rPr>
      </w:pPr>
      <w:r w:rsidRPr="00234EF7">
        <w:rPr>
          <w:rFonts w:ascii="Arial" w:hAnsi="Arial" w:cs="Arial"/>
          <w:color w:val="000000"/>
        </w:rPr>
        <w:t>In der Nähe des Hauptabsperrventils bzw. der Wasserübergabestelle/des Trinkwasser-Hausanschlusses (z. B. am Wasserzähler) muss ein Hinweisschild nach DIN 1989-1 mit folgendem Text angebracht werden: „Achtung! In diesem Gebäude ist eine Regenwassernutzungsanlage installiert. Querverbindungen sind nicht zulässig.“</w:t>
      </w:r>
    </w:p>
    <w:p w:rsidR="00486B4B" w:rsidRDefault="00486B4B" w:rsidP="00234EF7">
      <w:pPr>
        <w:spacing w:after="0"/>
        <w:rPr>
          <w:b/>
        </w:rPr>
      </w:pPr>
    </w:p>
    <w:p w:rsidR="002A0778" w:rsidRDefault="002A0778" w:rsidP="00486B4B">
      <w:pPr>
        <w:autoSpaceDE w:val="0"/>
        <w:autoSpaceDN w:val="0"/>
        <w:adjustRightInd w:val="0"/>
        <w:spacing w:after="0" w:line="240" w:lineRule="auto"/>
        <w:rPr>
          <w:b/>
        </w:rPr>
      </w:pPr>
    </w:p>
    <w:p w:rsidR="00486B4B" w:rsidRDefault="00486B4B" w:rsidP="00486B4B">
      <w:pPr>
        <w:autoSpaceDE w:val="0"/>
        <w:autoSpaceDN w:val="0"/>
        <w:adjustRightInd w:val="0"/>
        <w:spacing w:after="0" w:line="240" w:lineRule="auto"/>
        <w:rPr>
          <w:rFonts w:ascii="Arial" w:hAnsi="Arial" w:cs="Arial"/>
          <w:b/>
          <w:bCs/>
          <w:color w:val="000000"/>
        </w:rPr>
      </w:pPr>
      <w:r w:rsidRPr="00486B4B">
        <w:rPr>
          <w:rFonts w:ascii="Arial" w:hAnsi="Arial" w:cs="Arial"/>
          <w:b/>
          <w:bCs/>
          <w:color w:val="000000"/>
        </w:rPr>
        <w:t xml:space="preserve">5. Entnahmestellen für Dachablaufwasser/Regenwasser </w:t>
      </w:r>
    </w:p>
    <w:p w:rsidR="00486B4B" w:rsidRPr="00486B4B" w:rsidRDefault="00486B4B" w:rsidP="00486B4B">
      <w:pPr>
        <w:autoSpaceDE w:val="0"/>
        <w:autoSpaceDN w:val="0"/>
        <w:adjustRightInd w:val="0"/>
        <w:spacing w:after="0" w:line="240" w:lineRule="auto"/>
        <w:rPr>
          <w:rFonts w:ascii="Arial" w:hAnsi="Arial" w:cs="Arial"/>
          <w:color w:val="000000"/>
        </w:rPr>
      </w:pPr>
    </w:p>
    <w:p w:rsidR="00486B4B" w:rsidRDefault="00486B4B" w:rsidP="00486B4B">
      <w:pPr>
        <w:spacing w:after="0"/>
        <w:rPr>
          <w:rFonts w:ascii="Arial" w:hAnsi="Arial" w:cs="Arial"/>
          <w:color w:val="000000"/>
        </w:rPr>
      </w:pPr>
      <w:r w:rsidRPr="00486B4B">
        <w:rPr>
          <w:rFonts w:ascii="Arial" w:hAnsi="Arial" w:cs="Arial"/>
          <w:color w:val="000000"/>
        </w:rPr>
        <w:t xml:space="preserve">Alle mit Dachablauf- oder Regenwasser gespeisten Entnahmestellen der Nichttrinkwasseranlage sind schriftlich („Kein Trinkwasser“) </w:t>
      </w:r>
      <w:r w:rsidRPr="002A0778">
        <w:rPr>
          <w:rFonts w:ascii="Arial" w:hAnsi="Arial" w:cs="Arial"/>
          <w:b/>
          <w:color w:val="000000"/>
        </w:rPr>
        <w:t>und</w:t>
      </w:r>
      <w:r w:rsidRPr="00486B4B">
        <w:rPr>
          <w:rFonts w:ascii="Arial" w:hAnsi="Arial" w:cs="Arial"/>
          <w:color w:val="000000"/>
        </w:rPr>
        <w:t xml:space="preserve"> bildlich (Symbol bzw. Zeichen) als solche zu kennzeichnen (siehe DVGW </w:t>
      </w:r>
      <w:proofErr w:type="spellStart"/>
      <w:r w:rsidRPr="00486B4B">
        <w:rPr>
          <w:rFonts w:ascii="Arial" w:hAnsi="Arial" w:cs="Arial"/>
          <w:color w:val="000000"/>
        </w:rPr>
        <w:t>twin</w:t>
      </w:r>
      <w:proofErr w:type="spellEnd"/>
      <w:r w:rsidRPr="00486B4B">
        <w:rPr>
          <w:rFonts w:ascii="Arial" w:hAnsi="Arial" w:cs="Arial"/>
          <w:color w:val="000000"/>
        </w:rPr>
        <w:t xml:space="preserve"> oder Bild 6 rechts, DIN EN 16941-1).</w:t>
      </w:r>
    </w:p>
    <w:p w:rsidR="00486B4B" w:rsidRDefault="00486B4B" w:rsidP="00486B4B">
      <w:pPr>
        <w:spacing w:after="0"/>
        <w:rPr>
          <w:b/>
        </w:rPr>
      </w:pPr>
    </w:p>
    <w:p w:rsidR="00486B4B" w:rsidRDefault="00486B4B" w:rsidP="00486B4B">
      <w:pPr>
        <w:spacing w:after="0"/>
        <w:rPr>
          <w:rFonts w:ascii="Arial" w:hAnsi="Arial" w:cs="Arial"/>
        </w:rPr>
      </w:pPr>
      <w:r w:rsidRPr="00486B4B">
        <w:rPr>
          <w:rFonts w:ascii="Arial" w:hAnsi="Arial" w:cs="Arial"/>
        </w:rPr>
        <w:lastRenderedPageBreak/>
        <w:t xml:space="preserve">Nichttrinkwasser-Zapfstellen müssen durch Verwendung von Zapfhähnen </w:t>
      </w:r>
      <w:r w:rsidR="001D4A68" w:rsidRPr="00486B4B">
        <w:rPr>
          <w:rFonts w:ascii="Arial" w:hAnsi="Arial" w:cs="Arial"/>
        </w:rPr>
        <w:t>mit abzunehmendem</w:t>
      </w:r>
      <w:r w:rsidR="002A0778">
        <w:rPr>
          <w:rFonts w:ascii="Arial" w:hAnsi="Arial" w:cs="Arial"/>
        </w:rPr>
        <w:t xml:space="preserve"> oder absperrbarem </w:t>
      </w:r>
      <w:r w:rsidR="001D4A68" w:rsidRPr="00486B4B">
        <w:rPr>
          <w:rFonts w:ascii="Arial" w:hAnsi="Arial" w:cs="Arial"/>
        </w:rPr>
        <w:t>Griff</w:t>
      </w:r>
      <w:r w:rsidRPr="00486B4B">
        <w:rPr>
          <w:rFonts w:ascii="Arial" w:hAnsi="Arial" w:cs="Arial"/>
        </w:rPr>
        <w:t xml:space="preserve"> gegen unbefugte und versehentliche Nutzung gesichert sein.</w:t>
      </w:r>
    </w:p>
    <w:p w:rsidR="002A0778" w:rsidRDefault="002A0778" w:rsidP="00486B4B">
      <w:pPr>
        <w:spacing w:after="0"/>
        <w:rPr>
          <w:rFonts w:ascii="Arial" w:hAnsi="Arial" w:cs="Arial"/>
        </w:rPr>
      </w:pPr>
    </w:p>
    <w:p w:rsidR="002A0778" w:rsidRDefault="002A0778" w:rsidP="00486B4B">
      <w:pPr>
        <w:spacing w:after="0"/>
        <w:rPr>
          <w:rFonts w:ascii="Arial" w:hAnsi="Arial" w:cs="Arial"/>
        </w:rPr>
      </w:pPr>
    </w:p>
    <w:p w:rsidR="001D4A68" w:rsidRDefault="001D4A68" w:rsidP="001D4A68">
      <w:pPr>
        <w:autoSpaceDE w:val="0"/>
        <w:autoSpaceDN w:val="0"/>
        <w:adjustRightInd w:val="0"/>
        <w:spacing w:after="0" w:line="240" w:lineRule="auto"/>
        <w:rPr>
          <w:rFonts w:ascii="Arial" w:hAnsi="Arial" w:cs="Arial"/>
          <w:b/>
          <w:bCs/>
          <w:color w:val="000000"/>
        </w:rPr>
      </w:pPr>
      <w:r w:rsidRPr="001D4A68">
        <w:rPr>
          <w:rFonts w:ascii="Arial" w:hAnsi="Arial" w:cs="Arial"/>
          <w:b/>
          <w:bCs/>
          <w:color w:val="000000"/>
        </w:rPr>
        <w:t xml:space="preserve">6. Betrieb und Wartung von Regenwassernutzungsanlagen </w:t>
      </w:r>
    </w:p>
    <w:p w:rsidR="001D4A68" w:rsidRPr="001D4A68" w:rsidRDefault="001D4A68" w:rsidP="001D4A68">
      <w:pPr>
        <w:autoSpaceDE w:val="0"/>
        <w:autoSpaceDN w:val="0"/>
        <w:adjustRightInd w:val="0"/>
        <w:spacing w:after="0" w:line="240" w:lineRule="auto"/>
        <w:rPr>
          <w:rFonts w:ascii="Arial" w:hAnsi="Arial" w:cs="Arial"/>
          <w:color w:val="000000"/>
        </w:rPr>
      </w:pPr>
    </w:p>
    <w:p w:rsidR="001D4A68" w:rsidRDefault="001D4A68" w:rsidP="001D4A68">
      <w:pPr>
        <w:autoSpaceDE w:val="0"/>
        <w:autoSpaceDN w:val="0"/>
        <w:adjustRightInd w:val="0"/>
        <w:spacing w:after="0" w:line="240" w:lineRule="auto"/>
        <w:rPr>
          <w:rFonts w:ascii="Arial" w:hAnsi="Arial" w:cs="Arial"/>
          <w:color w:val="000000"/>
        </w:rPr>
      </w:pPr>
      <w:r w:rsidRPr="001D4A68">
        <w:rPr>
          <w:rFonts w:ascii="Arial" w:hAnsi="Arial" w:cs="Arial"/>
          <w:color w:val="000000"/>
        </w:rPr>
        <w:t xml:space="preserve">Zur Gewährleistung des ordnungsgemäßen und störungsfreien Betriebs müssen auch Regenwassernutzungsanlagen entsprechend den einschlägigen Vorgaben regelmäßig inspiziert, gereinigt und gewartet werden. Die Inspektionen sowie alle Reinigungs- und Wartungsarbeiten sind darüber hinaus in einem Betriebstagebuch zu dokumentieren. </w:t>
      </w:r>
    </w:p>
    <w:p w:rsidR="001D4A68" w:rsidRPr="001D4A68" w:rsidRDefault="001D4A68" w:rsidP="001D4A68">
      <w:pPr>
        <w:autoSpaceDE w:val="0"/>
        <w:autoSpaceDN w:val="0"/>
        <w:adjustRightInd w:val="0"/>
        <w:spacing w:after="0" w:line="240" w:lineRule="auto"/>
        <w:rPr>
          <w:rFonts w:ascii="Arial" w:hAnsi="Arial" w:cs="Arial"/>
          <w:color w:val="000000"/>
        </w:rPr>
      </w:pPr>
    </w:p>
    <w:p w:rsidR="001D4A68" w:rsidRDefault="001D4A68" w:rsidP="001D4A68">
      <w:pPr>
        <w:autoSpaceDE w:val="0"/>
        <w:autoSpaceDN w:val="0"/>
        <w:adjustRightInd w:val="0"/>
        <w:spacing w:after="0" w:line="240" w:lineRule="auto"/>
        <w:rPr>
          <w:rFonts w:ascii="Arial" w:hAnsi="Arial" w:cs="Arial"/>
          <w:color w:val="000000"/>
        </w:rPr>
      </w:pPr>
      <w:r w:rsidRPr="001D4A68">
        <w:rPr>
          <w:rFonts w:ascii="Arial" w:hAnsi="Arial" w:cs="Arial"/>
          <w:color w:val="000000"/>
        </w:rPr>
        <w:t xml:space="preserve">Die untenstehende Tabelle benennt ohne Anspruch auf Vollständigkeit exemplarisch einige der diesbezüglich erforderlichen Maßnahmen und Zeitintervalle. </w:t>
      </w:r>
    </w:p>
    <w:p w:rsidR="001D4A68" w:rsidRPr="001D4A68" w:rsidRDefault="001D4A68" w:rsidP="001D4A68">
      <w:pPr>
        <w:autoSpaceDE w:val="0"/>
        <w:autoSpaceDN w:val="0"/>
        <w:adjustRightInd w:val="0"/>
        <w:spacing w:after="0" w:line="240" w:lineRule="auto"/>
        <w:rPr>
          <w:rFonts w:ascii="Arial" w:hAnsi="Arial" w:cs="Arial"/>
          <w:color w:val="000000"/>
        </w:rPr>
      </w:pPr>
    </w:p>
    <w:p w:rsidR="001D4A68" w:rsidRDefault="001D4A68" w:rsidP="001D4A68">
      <w:pPr>
        <w:spacing w:after="0"/>
        <w:rPr>
          <w:rFonts w:ascii="Arial" w:hAnsi="Arial" w:cs="Arial"/>
          <w:color w:val="000000"/>
        </w:rPr>
      </w:pPr>
      <w:r w:rsidRPr="001D4A68">
        <w:rPr>
          <w:rFonts w:ascii="Arial" w:hAnsi="Arial" w:cs="Arial"/>
          <w:color w:val="000000"/>
        </w:rPr>
        <w:t>Wir bitten zu beachten, dass der erforderliche Wartungsumfang inklusive der zu beachtenden Zeitintervalle für jede Anlage im Rahmen einer Einzelfallbetrachtung ermittelt werden muss.</w:t>
      </w:r>
    </w:p>
    <w:p w:rsidR="001D4A68" w:rsidRDefault="001D4A68" w:rsidP="001D4A68">
      <w:pPr>
        <w:spacing w:after="0"/>
        <w:rPr>
          <w:rFonts w:ascii="Arial" w:hAnsi="Arial" w:cs="Arial"/>
          <w:b/>
        </w:rPr>
      </w:pPr>
    </w:p>
    <w:p w:rsidR="001D4A68" w:rsidRDefault="001D4A68" w:rsidP="001D4A68">
      <w:pPr>
        <w:spacing w:after="0"/>
        <w:rPr>
          <w:rFonts w:ascii="Arial" w:hAnsi="Arial" w:cs="Arial"/>
          <w:b/>
        </w:rPr>
      </w:pPr>
    </w:p>
    <w:tbl>
      <w:tblPr>
        <w:tblStyle w:val="Tabellenraster"/>
        <w:tblW w:w="9091" w:type="dxa"/>
        <w:tblLook w:val="04A0" w:firstRow="1" w:lastRow="0" w:firstColumn="1" w:lastColumn="0" w:noHBand="0" w:noVBand="1"/>
      </w:tblPr>
      <w:tblGrid>
        <w:gridCol w:w="3029"/>
        <w:gridCol w:w="3031"/>
        <w:gridCol w:w="3031"/>
      </w:tblGrid>
      <w:tr w:rsidR="001D4A68" w:rsidTr="009E0446">
        <w:trPr>
          <w:trHeight w:val="444"/>
        </w:trPr>
        <w:tc>
          <w:tcPr>
            <w:tcW w:w="3029" w:type="dxa"/>
          </w:tcPr>
          <w:p w:rsidR="001D4A68" w:rsidRDefault="005C677C" w:rsidP="001D4A68">
            <w:pPr>
              <w:rPr>
                <w:rFonts w:ascii="Arial" w:hAnsi="Arial" w:cs="Arial"/>
                <w:b/>
              </w:rPr>
            </w:pPr>
            <w:r>
              <w:rPr>
                <w:rFonts w:ascii="Arial" w:hAnsi="Arial" w:cs="Arial"/>
                <w:b/>
              </w:rPr>
              <w:t>Anlagenteil</w:t>
            </w:r>
          </w:p>
        </w:tc>
        <w:tc>
          <w:tcPr>
            <w:tcW w:w="3031" w:type="dxa"/>
          </w:tcPr>
          <w:p w:rsidR="001D4A68" w:rsidRDefault="005C677C" w:rsidP="009E0446">
            <w:pPr>
              <w:jc w:val="center"/>
              <w:rPr>
                <w:rFonts w:ascii="Arial" w:hAnsi="Arial" w:cs="Arial"/>
                <w:b/>
              </w:rPr>
            </w:pPr>
            <w:r>
              <w:rPr>
                <w:rFonts w:ascii="Arial" w:hAnsi="Arial" w:cs="Arial"/>
                <w:b/>
              </w:rPr>
              <w:t>Inspektion</w:t>
            </w:r>
          </w:p>
        </w:tc>
        <w:tc>
          <w:tcPr>
            <w:tcW w:w="3031" w:type="dxa"/>
          </w:tcPr>
          <w:p w:rsidR="001D4A68" w:rsidRDefault="005C677C" w:rsidP="009E0446">
            <w:pPr>
              <w:jc w:val="center"/>
              <w:rPr>
                <w:rFonts w:ascii="Arial" w:hAnsi="Arial" w:cs="Arial"/>
                <w:b/>
              </w:rPr>
            </w:pPr>
            <w:r>
              <w:rPr>
                <w:rFonts w:ascii="Arial" w:hAnsi="Arial" w:cs="Arial"/>
                <w:b/>
              </w:rPr>
              <w:t>Reinigung/Wartung</w:t>
            </w:r>
          </w:p>
        </w:tc>
      </w:tr>
      <w:tr w:rsidR="001D4A68" w:rsidTr="009E0446">
        <w:trPr>
          <w:trHeight w:val="863"/>
        </w:trPr>
        <w:tc>
          <w:tcPr>
            <w:tcW w:w="3029" w:type="dxa"/>
          </w:tcPr>
          <w:p w:rsidR="001D4A68" w:rsidRPr="005C677C" w:rsidRDefault="005C677C" w:rsidP="001D4A68">
            <w:pPr>
              <w:rPr>
                <w:rFonts w:ascii="Arial" w:hAnsi="Arial" w:cs="Arial"/>
              </w:rPr>
            </w:pPr>
            <w:r>
              <w:rPr>
                <w:rFonts w:ascii="Arial" w:hAnsi="Arial" w:cs="Arial"/>
              </w:rPr>
              <w:t>Dachrinne</w:t>
            </w:r>
            <w:r w:rsidR="000952B2">
              <w:rPr>
                <w:rFonts w:ascii="Arial" w:hAnsi="Arial" w:cs="Arial"/>
              </w:rPr>
              <w:t xml:space="preserve"> (Blättersieb, Laubfangsieb)</w:t>
            </w:r>
          </w:p>
        </w:tc>
        <w:tc>
          <w:tcPr>
            <w:tcW w:w="3031" w:type="dxa"/>
          </w:tcPr>
          <w:p w:rsidR="001D4A68" w:rsidRPr="005C677C" w:rsidRDefault="009E0446" w:rsidP="009E0446">
            <w:pPr>
              <w:jc w:val="center"/>
              <w:rPr>
                <w:rFonts w:ascii="Arial" w:hAnsi="Arial" w:cs="Arial"/>
              </w:rPr>
            </w:pPr>
            <w:r>
              <w:rPr>
                <w:rFonts w:ascii="Arial" w:hAnsi="Arial" w:cs="Arial"/>
              </w:rPr>
              <w:t>alle</w:t>
            </w:r>
            <w:r w:rsidR="000952B2">
              <w:rPr>
                <w:rFonts w:ascii="Arial" w:hAnsi="Arial" w:cs="Arial"/>
              </w:rPr>
              <w:t xml:space="preserve"> 2 Monate</w:t>
            </w:r>
          </w:p>
        </w:tc>
        <w:tc>
          <w:tcPr>
            <w:tcW w:w="3031" w:type="dxa"/>
          </w:tcPr>
          <w:p w:rsidR="001D4A68" w:rsidRPr="005C677C" w:rsidRDefault="000952B2" w:rsidP="009E0446">
            <w:pPr>
              <w:jc w:val="center"/>
              <w:rPr>
                <w:rFonts w:ascii="Arial" w:hAnsi="Arial" w:cs="Arial"/>
              </w:rPr>
            </w:pPr>
            <w:r>
              <w:rPr>
                <w:rFonts w:ascii="Arial" w:hAnsi="Arial" w:cs="Arial"/>
              </w:rPr>
              <w:t>2x jährlich Frühjahr/Herbst)</w:t>
            </w:r>
          </w:p>
        </w:tc>
      </w:tr>
      <w:tr w:rsidR="001D4A68" w:rsidTr="009E0446">
        <w:trPr>
          <w:trHeight w:val="418"/>
        </w:trPr>
        <w:tc>
          <w:tcPr>
            <w:tcW w:w="3029" w:type="dxa"/>
          </w:tcPr>
          <w:p w:rsidR="001D4A68" w:rsidRPr="005C677C" w:rsidRDefault="000952B2" w:rsidP="001D4A68">
            <w:pPr>
              <w:rPr>
                <w:rFonts w:ascii="Arial" w:hAnsi="Arial" w:cs="Arial"/>
              </w:rPr>
            </w:pPr>
            <w:r>
              <w:rPr>
                <w:rFonts w:ascii="Arial" w:hAnsi="Arial" w:cs="Arial"/>
              </w:rPr>
              <w:t>Feinfilter</w:t>
            </w:r>
          </w:p>
        </w:tc>
        <w:tc>
          <w:tcPr>
            <w:tcW w:w="3031" w:type="dxa"/>
          </w:tcPr>
          <w:p w:rsidR="001D4A68" w:rsidRPr="005C677C" w:rsidRDefault="009E0446" w:rsidP="009E0446">
            <w:pPr>
              <w:jc w:val="center"/>
              <w:rPr>
                <w:rFonts w:ascii="Arial" w:hAnsi="Arial" w:cs="Arial"/>
              </w:rPr>
            </w:pPr>
            <w:r>
              <w:rPr>
                <w:rFonts w:ascii="Arial" w:hAnsi="Arial" w:cs="Arial"/>
              </w:rPr>
              <w:t>alle</w:t>
            </w:r>
            <w:r w:rsidR="000952B2">
              <w:rPr>
                <w:rFonts w:ascii="Arial" w:hAnsi="Arial" w:cs="Arial"/>
              </w:rPr>
              <w:t xml:space="preserve"> 2 Monate</w:t>
            </w:r>
          </w:p>
        </w:tc>
        <w:tc>
          <w:tcPr>
            <w:tcW w:w="3031" w:type="dxa"/>
          </w:tcPr>
          <w:p w:rsidR="001D4A68" w:rsidRPr="005C677C" w:rsidRDefault="009E0446" w:rsidP="009E0446">
            <w:pPr>
              <w:jc w:val="center"/>
              <w:rPr>
                <w:rFonts w:ascii="Arial" w:hAnsi="Arial" w:cs="Arial"/>
              </w:rPr>
            </w:pPr>
            <w:r>
              <w:rPr>
                <w:rFonts w:ascii="Arial" w:hAnsi="Arial" w:cs="Arial"/>
              </w:rPr>
              <w:t>alle</w:t>
            </w:r>
            <w:r w:rsidR="000952B2">
              <w:rPr>
                <w:rFonts w:ascii="Arial" w:hAnsi="Arial" w:cs="Arial"/>
              </w:rPr>
              <w:t xml:space="preserve"> 2 Monate</w:t>
            </w:r>
          </w:p>
        </w:tc>
      </w:tr>
      <w:tr w:rsidR="001D4A68" w:rsidTr="009E0446">
        <w:trPr>
          <w:trHeight w:val="444"/>
        </w:trPr>
        <w:tc>
          <w:tcPr>
            <w:tcW w:w="3029" w:type="dxa"/>
          </w:tcPr>
          <w:p w:rsidR="001D4A68" w:rsidRPr="005C677C" w:rsidRDefault="000952B2" w:rsidP="001D4A68">
            <w:pPr>
              <w:rPr>
                <w:rFonts w:ascii="Arial" w:hAnsi="Arial" w:cs="Arial"/>
              </w:rPr>
            </w:pPr>
            <w:r>
              <w:rPr>
                <w:rFonts w:ascii="Arial" w:hAnsi="Arial" w:cs="Arial"/>
              </w:rPr>
              <w:t>Sammelbehälter</w:t>
            </w:r>
          </w:p>
        </w:tc>
        <w:tc>
          <w:tcPr>
            <w:tcW w:w="3031" w:type="dxa"/>
          </w:tcPr>
          <w:p w:rsidR="001D4A68" w:rsidRPr="005C677C" w:rsidRDefault="009E0446" w:rsidP="009E0446">
            <w:pPr>
              <w:jc w:val="center"/>
              <w:rPr>
                <w:rFonts w:ascii="Arial" w:hAnsi="Arial" w:cs="Arial"/>
              </w:rPr>
            </w:pPr>
            <w:r>
              <w:rPr>
                <w:rFonts w:ascii="Arial" w:hAnsi="Arial" w:cs="Arial"/>
              </w:rPr>
              <w:t>alle</w:t>
            </w:r>
            <w:r w:rsidR="000952B2">
              <w:rPr>
                <w:rFonts w:ascii="Arial" w:hAnsi="Arial" w:cs="Arial"/>
              </w:rPr>
              <w:t xml:space="preserve"> 2 Monate</w:t>
            </w:r>
          </w:p>
        </w:tc>
        <w:tc>
          <w:tcPr>
            <w:tcW w:w="3031" w:type="dxa"/>
          </w:tcPr>
          <w:p w:rsidR="001D4A68" w:rsidRPr="005C677C" w:rsidRDefault="000952B2" w:rsidP="009E0446">
            <w:pPr>
              <w:jc w:val="center"/>
              <w:rPr>
                <w:rFonts w:ascii="Arial" w:hAnsi="Arial" w:cs="Arial"/>
              </w:rPr>
            </w:pPr>
            <w:r>
              <w:rPr>
                <w:rFonts w:ascii="Arial" w:hAnsi="Arial" w:cs="Arial"/>
              </w:rPr>
              <w:t>1 x jährlich</w:t>
            </w:r>
          </w:p>
        </w:tc>
      </w:tr>
      <w:tr w:rsidR="001D4A68" w:rsidTr="009E0446">
        <w:trPr>
          <w:trHeight w:val="444"/>
        </w:trPr>
        <w:tc>
          <w:tcPr>
            <w:tcW w:w="3029" w:type="dxa"/>
          </w:tcPr>
          <w:p w:rsidR="001D4A68" w:rsidRPr="005C677C" w:rsidRDefault="000952B2" w:rsidP="001D4A68">
            <w:pPr>
              <w:rPr>
                <w:rFonts w:ascii="Arial" w:hAnsi="Arial" w:cs="Arial"/>
              </w:rPr>
            </w:pPr>
            <w:r>
              <w:rPr>
                <w:rFonts w:ascii="Arial" w:hAnsi="Arial" w:cs="Arial"/>
              </w:rPr>
              <w:t>Druckerhöhungsanlage</w:t>
            </w:r>
          </w:p>
        </w:tc>
        <w:tc>
          <w:tcPr>
            <w:tcW w:w="3031" w:type="dxa"/>
          </w:tcPr>
          <w:p w:rsidR="001D4A68" w:rsidRPr="005C677C" w:rsidRDefault="000952B2" w:rsidP="009E0446">
            <w:pPr>
              <w:jc w:val="center"/>
              <w:rPr>
                <w:rFonts w:ascii="Arial" w:hAnsi="Arial" w:cs="Arial"/>
              </w:rPr>
            </w:pPr>
            <w:r>
              <w:rPr>
                <w:rFonts w:ascii="Arial" w:hAnsi="Arial" w:cs="Arial"/>
              </w:rPr>
              <w:t>1 x jährlich</w:t>
            </w:r>
          </w:p>
        </w:tc>
        <w:tc>
          <w:tcPr>
            <w:tcW w:w="3031" w:type="dxa"/>
          </w:tcPr>
          <w:p w:rsidR="001D4A68" w:rsidRPr="005C677C" w:rsidRDefault="000952B2" w:rsidP="009E0446">
            <w:pPr>
              <w:jc w:val="center"/>
              <w:rPr>
                <w:rFonts w:ascii="Arial" w:hAnsi="Arial" w:cs="Arial"/>
              </w:rPr>
            </w:pPr>
            <w:r>
              <w:rPr>
                <w:rFonts w:ascii="Arial" w:hAnsi="Arial" w:cs="Arial"/>
              </w:rPr>
              <w:t>1 x jährlich</w:t>
            </w:r>
          </w:p>
        </w:tc>
      </w:tr>
      <w:tr w:rsidR="001D4A68" w:rsidTr="009E0446">
        <w:trPr>
          <w:trHeight w:val="1753"/>
        </w:trPr>
        <w:tc>
          <w:tcPr>
            <w:tcW w:w="3029" w:type="dxa"/>
          </w:tcPr>
          <w:p w:rsidR="001D4A68" w:rsidRPr="005C677C" w:rsidRDefault="000952B2" w:rsidP="001D4A68">
            <w:pPr>
              <w:rPr>
                <w:rFonts w:ascii="Arial" w:hAnsi="Arial" w:cs="Arial"/>
              </w:rPr>
            </w:pPr>
            <w:r>
              <w:rPr>
                <w:rFonts w:ascii="Arial" w:hAnsi="Arial" w:cs="Arial"/>
              </w:rPr>
              <w:t>Freier Auslauf (Rückflussverhinderer und Trennung der Leitungssysteme)</w:t>
            </w:r>
          </w:p>
        </w:tc>
        <w:tc>
          <w:tcPr>
            <w:tcW w:w="3031" w:type="dxa"/>
          </w:tcPr>
          <w:p w:rsidR="001D4A68" w:rsidRPr="005C677C" w:rsidRDefault="000952B2" w:rsidP="009E0446">
            <w:pPr>
              <w:jc w:val="center"/>
              <w:rPr>
                <w:rFonts w:ascii="Arial" w:hAnsi="Arial" w:cs="Arial"/>
              </w:rPr>
            </w:pPr>
            <w:r>
              <w:rPr>
                <w:rFonts w:ascii="Arial" w:hAnsi="Arial" w:cs="Arial"/>
              </w:rPr>
              <w:t>2 x jährlich</w:t>
            </w:r>
          </w:p>
        </w:tc>
        <w:tc>
          <w:tcPr>
            <w:tcW w:w="3031" w:type="dxa"/>
          </w:tcPr>
          <w:p w:rsidR="001D4A68" w:rsidRPr="005C677C" w:rsidRDefault="000952B2" w:rsidP="009E0446">
            <w:pPr>
              <w:jc w:val="center"/>
              <w:rPr>
                <w:rFonts w:ascii="Arial" w:hAnsi="Arial" w:cs="Arial"/>
              </w:rPr>
            </w:pPr>
            <w:r>
              <w:rPr>
                <w:rFonts w:ascii="Arial" w:hAnsi="Arial" w:cs="Arial"/>
              </w:rPr>
              <w:t>2 x jährlich</w:t>
            </w:r>
          </w:p>
        </w:tc>
      </w:tr>
      <w:tr w:rsidR="001D4A68" w:rsidTr="009E0446">
        <w:trPr>
          <w:trHeight w:val="863"/>
        </w:trPr>
        <w:tc>
          <w:tcPr>
            <w:tcW w:w="3029" w:type="dxa"/>
          </w:tcPr>
          <w:p w:rsidR="001D4A68" w:rsidRPr="005C677C" w:rsidRDefault="000952B2" w:rsidP="001D4A68">
            <w:pPr>
              <w:rPr>
                <w:rFonts w:ascii="Arial" w:hAnsi="Arial" w:cs="Arial"/>
              </w:rPr>
            </w:pPr>
            <w:r>
              <w:rPr>
                <w:rFonts w:ascii="Arial" w:hAnsi="Arial" w:cs="Arial"/>
              </w:rPr>
              <w:t>Füllhöhe des Regenwasserspeichers</w:t>
            </w:r>
          </w:p>
        </w:tc>
        <w:tc>
          <w:tcPr>
            <w:tcW w:w="3031" w:type="dxa"/>
          </w:tcPr>
          <w:p w:rsidR="001D4A68" w:rsidRPr="005C677C" w:rsidRDefault="000952B2" w:rsidP="009E0446">
            <w:pPr>
              <w:jc w:val="center"/>
              <w:rPr>
                <w:rFonts w:ascii="Arial" w:hAnsi="Arial" w:cs="Arial"/>
              </w:rPr>
            </w:pPr>
            <w:r>
              <w:rPr>
                <w:rFonts w:ascii="Arial" w:hAnsi="Arial" w:cs="Arial"/>
              </w:rPr>
              <w:t>1 x jährlich</w:t>
            </w:r>
          </w:p>
        </w:tc>
        <w:tc>
          <w:tcPr>
            <w:tcW w:w="3031" w:type="dxa"/>
          </w:tcPr>
          <w:p w:rsidR="001D4A68" w:rsidRPr="005C677C" w:rsidRDefault="009E0446" w:rsidP="009E0446">
            <w:pPr>
              <w:jc w:val="center"/>
              <w:rPr>
                <w:rFonts w:ascii="Arial" w:hAnsi="Arial" w:cs="Arial"/>
              </w:rPr>
            </w:pPr>
            <w:r>
              <w:rPr>
                <w:rFonts w:ascii="Arial" w:hAnsi="Arial" w:cs="Arial"/>
              </w:rPr>
              <w:t>nach</w:t>
            </w:r>
            <w:r w:rsidR="000952B2">
              <w:rPr>
                <w:rFonts w:ascii="Arial" w:hAnsi="Arial" w:cs="Arial"/>
              </w:rPr>
              <w:t xml:space="preserve"> Herstellervorgaben</w:t>
            </w:r>
          </w:p>
        </w:tc>
      </w:tr>
      <w:tr w:rsidR="001D4A68" w:rsidTr="009E0446">
        <w:trPr>
          <w:trHeight w:val="444"/>
        </w:trPr>
        <w:tc>
          <w:tcPr>
            <w:tcW w:w="3029" w:type="dxa"/>
          </w:tcPr>
          <w:p w:rsidR="001D4A68" w:rsidRPr="005C677C" w:rsidRDefault="000952B2" w:rsidP="001D4A68">
            <w:pPr>
              <w:rPr>
                <w:rFonts w:ascii="Arial" w:hAnsi="Arial" w:cs="Arial"/>
              </w:rPr>
            </w:pPr>
            <w:r>
              <w:rPr>
                <w:rFonts w:ascii="Arial" w:hAnsi="Arial" w:cs="Arial"/>
              </w:rPr>
              <w:t>Kennzeichnung</w:t>
            </w:r>
          </w:p>
        </w:tc>
        <w:tc>
          <w:tcPr>
            <w:tcW w:w="3031" w:type="dxa"/>
          </w:tcPr>
          <w:p w:rsidR="001D4A68" w:rsidRPr="005C677C" w:rsidRDefault="000952B2" w:rsidP="009E0446">
            <w:pPr>
              <w:jc w:val="center"/>
              <w:rPr>
                <w:rFonts w:ascii="Arial" w:hAnsi="Arial" w:cs="Arial"/>
              </w:rPr>
            </w:pPr>
            <w:r>
              <w:rPr>
                <w:rFonts w:ascii="Arial" w:hAnsi="Arial" w:cs="Arial"/>
              </w:rPr>
              <w:t>1 x jährlich</w:t>
            </w:r>
          </w:p>
        </w:tc>
        <w:tc>
          <w:tcPr>
            <w:tcW w:w="3031" w:type="dxa"/>
          </w:tcPr>
          <w:p w:rsidR="001D4A68" w:rsidRPr="005C677C" w:rsidRDefault="009E0446" w:rsidP="009E0446">
            <w:pPr>
              <w:jc w:val="center"/>
              <w:rPr>
                <w:rFonts w:ascii="Arial" w:hAnsi="Arial" w:cs="Arial"/>
              </w:rPr>
            </w:pPr>
            <w:r>
              <w:rPr>
                <w:rFonts w:ascii="Arial" w:hAnsi="Arial" w:cs="Arial"/>
              </w:rPr>
              <w:t>bei</w:t>
            </w:r>
            <w:r w:rsidR="000952B2">
              <w:rPr>
                <w:rFonts w:ascii="Arial" w:hAnsi="Arial" w:cs="Arial"/>
              </w:rPr>
              <w:t xml:space="preserve"> Bedarf</w:t>
            </w:r>
          </w:p>
        </w:tc>
      </w:tr>
      <w:tr w:rsidR="001D4A68" w:rsidTr="009E0446">
        <w:trPr>
          <w:trHeight w:val="418"/>
        </w:trPr>
        <w:tc>
          <w:tcPr>
            <w:tcW w:w="3029" w:type="dxa"/>
          </w:tcPr>
          <w:p w:rsidR="001D4A68" w:rsidRPr="005C677C" w:rsidRDefault="000952B2" w:rsidP="001D4A68">
            <w:pPr>
              <w:rPr>
                <w:rFonts w:ascii="Arial" w:hAnsi="Arial" w:cs="Arial"/>
              </w:rPr>
            </w:pPr>
            <w:r>
              <w:rPr>
                <w:rFonts w:ascii="Arial" w:hAnsi="Arial" w:cs="Arial"/>
              </w:rPr>
              <w:t>Rohrleitungen</w:t>
            </w:r>
          </w:p>
        </w:tc>
        <w:tc>
          <w:tcPr>
            <w:tcW w:w="3031" w:type="dxa"/>
          </w:tcPr>
          <w:p w:rsidR="001D4A68" w:rsidRPr="005C677C" w:rsidRDefault="000952B2" w:rsidP="009E0446">
            <w:pPr>
              <w:jc w:val="center"/>
              <w:rPr>
                <w:rFonts w:ascii="Arial" w:hAnsi="Arial" w:cs="Arial"/>
              </w:rPr>
            </w:pPr>
            <w:r>
              <w:rPr>
                <w:rFonts w:ascii="Arial" w:hAnsi="Arial" w:cs="Arial"/>
              </w:rPr>
              <w:t>1 x jährlich</w:t>
            </w:r>
          </w:p>
        </w:tc>
        <w:tc>
          <w:tcPr>
            <w:tcW w:w="3031" w:type="dxa"/>
          </w:tcPr>
          <w:p w:rsidR="001D4A68" w:rsidRPr="005C677C" w:rsidRDefault="009E0446" w:rsidP="009E0446">
            <w:pPr>
              <w:jc w:val="center"/>
              <w:rPr>
                <w:rFonts w:ascii="Arial" w:hAnsi="Arial" w:cs="Arial"/>
              </w:rPr>
            </w:pPr>
            <w:r>
              <w:rPr>
                <w:rFonts w:ascii="Arial" w:hAnsi="Arial" w:cs="Arial"/>
              </w:rPr>
              <w:t>b</w:t>
            </w:r>
            <w:r w:rsidR="000952B2">
              <w:rPr>
                <w:rFonts w:ascii="Arial" w:hAnsi="Arial" w:cs="Arial"/>
              </w:rPr>
              <w:t>ei Bedarf</w:t>
            </w:r>
          </w:p>
        </w:tc>
      </w:tr>
      <w:tr w:rsidR="001D4A68" w:rsidTr="009E0446">
        <w:trPr>
          <w:trHeight w:val="418"/>
        </w:trPr>
        <w:tc>
          <w:tcPr>
            <w:tcW w:w="3029" w:type="dxa"/>
          </w:tcPr>
          <w:p w:rsidR="001D4A68" w:rsidRPr="005C677C" w:rsidRDefault="000952B2" w:rsidP="001D4A68">
            <w:pPr>
              <w:rPr>
                <w:rFonts w:ascii="Arial" w:hAnsi="Arial" w:cs="Arial"/>
              </w:rPr>
            </w:pPr>
            <w:r>
              <w:rPr>
                <w:rFonts w:ascii="Arial" w:hAnsi="Arial" w:cs="Arial"/>
              </w:rPr>
              <w:t>Trinkwasserzulauf</w:t>
            </w:r>
          </w:p>
        </w:tc>
        <w:tc>
          <w:tcPr>
            <w:tcW w:w="3031" w:type="dxa"/>
          </w:tcPr>
          <w:p w:rsidR="001D4A68" w:rsidRPr="005C677C" w:rsidRDefault="000952B2" w:rsidP="009E0446">
            <w:pPr>
              <w:jc w:val="center"/>
              <w:rPr>
                <w:rFonts w:ascii="Arial" w:hAnsi="Arial" w:cs="Arial"/>
              </w:rPr>
            </w:pPr>
            <w:r>
              <w:rPr>
                <w:rFonts w:ascii="Arial" w:hAnsi="Arial" w:cs="Arial"/>
              </w:rPr>
              <w:t>1 x jährlich</w:t>
            </w:r>
          </w:p>
        </w:tc>
        <w:tc>
          <w:tcPr>
            <w:tcW w:w="3031" w:type="dxa"/>
          </w:tcPr>
          <w:p w:rsidR="001D4A68" w:rsidRPr="005C677C" w:rsidRDefault="009E0446" w:rsidP="009E0446">
            <w:pPr>
              <w:jc w:val="center"/>
              <w:rPr>
                <w:rFonts w:ascii="Arial" w:hAnsi="Arial" w:cs="Arial"/>
              </w:rPr>
            </w:pPr>
            <w:r>
              <w:rPr>
                <w:rFonts w:ascii="Arial" w:hAnsi="Arial" w:cs="Arial"/>
              </w:rPr>
              <w:t>bei</w:t>
            </w:r>
            <w:r w:rsidR="000952B2">
              <w:rPr>
                <w:rFonts w:ascii="Arial" w:hAnsi="Arial" w:cs="Arial"/>
              </w:rPr>
              <w:t xml:space="preserve"> Bedarf</w:t>
            </w:r>
          </w:p>
        </w:tc>
      </w:tr>
    </w:tbl>
    <w:p w:rsidR="001D4A68" w:rsidRDefault="001D4A68" w:rsidP="001D4A68">
      <w:pPr>
        <w:spacing w:after="0"/>
        <w:rPr>
          <w:rFonts w:ascii="Arial" w:hAnsi="Arial" w:cs="Arial"/>
          <w:b/>
        </w:rPr>
      </w:pPr>
    </w:p>
    <w:p w:rsidR="009E0446" w:rsidRDefault="009E0446" w:rsidP="001D4A68">
      <w:pPr>
        <w:spacing w:after="0"/>
        <w:rPr>
          <w:rFonts w:ascii="Arial" w:hAnsi="Arial" w:cs="Arial"/>
          <w:b/>
        </w:rPr>
      </w:pPr>
    </w:p>
    <w:p w:rsidR="009E0446" w:rsidRDefault="009E0446" w:rsidP="009E0446">
      <w:pPr>
        <w:pStyle w:val="Default"/>
        <w:rPr>
          <w:b/>
          <w:bCs/>
          <w:sz w:val="22"/>
          <w:szCs w:val="22"/>
        </w:rPr>
      </w:pPr>
      <w:r>
        <w:rPr>
          <w:b/>
          <w:bCs/>
          <w:sz w:val="22"/>
          <w:szCs w:val="22"/>
        </w:rPr>
        <w:t xml:space="preserve">7. Umnutzung zu Trinkwasserleitungen ist untersagt </w:t>
      </w:r>
    </w:p>
    <w:p w:rsidR="009E0446" w:rsidRDefault="009E0446" w:rsidP="009E0446">
      <w:pPr>
        <w:pStyle w:val="Default"/>
        <w:rPr>
          <w:sz w:val="22"/>
          <w:szCs w:val="22"/>
        </w:rPr>
      </w:pPr>
    </w:p>
    <w:p w:rsidR="009E0446" w:rsidRPr="009E0446" w:rsidRDefault="009E0446" w:rsidP="009E0446">
      <w:pPr>
        <w:spacing w:after="0"/>
        <w:rPr>
          <w:rFonts w:ascii="Arial" w:hAnsi="Arial" w:cs="Arial"/>
          <w:b/>
        </w:rPr>
      </w:pPr>
      <w:r w:rsidRPr="009E0446">
        <w:rPr>
          <w:rFonts w:ascii="Arial" w:hAnsi="Arial" w:cs="Arial"/>
        </w:rPr>
        <w:t xml:space="preserve">Leitungen, in denen Nichttrinkwasser geflossen ist, dürfen </w:t>
      </w:r>
      <w:r w:rsidRPr="009E0446">
        <w:rPr>
          <w:rFonts w:ascii="Arial" w:hAnsi="Arial" w:cs="Arial"/>
          <w:b/>
          <w:u w:val="single"/>
        </w:rPr>
        <w:t>nicht</w:t>
      </w:r>
      <w:r w:rsidRPr="009E0446">
        <w:rPr>
          <w:rFonts w:ascii="Arial" w:hAnsi="Arial" w:cs="Arial"/>
          <w:b/>
        </w:rPr>
        <w:t xml:space="preserve"> </w:t>
      </w:r>
      <w:r w:rsidRPr="009E0446">
        <w:rPr>
          <w:rFonts w:ascii="Arial" w:hAnsi="Arial" w:cs="Arial"/>
        </w:rPr>
        <w:t>für die Verteilung von Trinkwasser genutzt werden.</w:t>
      </w:r>
    </w:p>
    <w:sectPr w:rsidR="009E0446" w:rsidRPr="009E04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3A4FD1"/>
    <w:multiLevelType w:val="hybridMultilevel"/>
    <w:tmpl w:val="13350C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8B21773"/>
    <w:multiLevelType w:val="hybridMultilevel"/>
    <w:tmpl w:val="C26EA30C"/>
    <w:lvl w:ilvl="0" w:tplc="65A6EE0C">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C8"/>
    <w:rsid w:val="000952B2"/>
    <w:rsid w:val="001D4A68"/>
    <w:rsid w:val="001D6716"/>
    <w:rsid w:val="00234EF7"/>
    <w:rsid w:val="002A0778"/>
    <w:rsid w:val="00486B4B"/>
    <w:rsid w:val="005A0501"/>
    <w:rsid w:val="005C677C"/>
    <w:rsid w:val="008271C8"/>
    <w:rsid w:val="009E0446"/>
    <w:rsid w:val="00DC2F2A"/>
    <w:rsid w:val="00E24A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5FA2"/>
  <w15:chartTrackingRefBased/>
  <w15:docId w15:val="{1BCA7BEE-32BC-4161-B599-91A2BC6F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271C8"/>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1D4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5113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Fuersicht</dc:creator>
  <cp:keywords/>
  <dc:description/>
  <cp:lastModifiedBy>Fuersicht</cp:lastModifiedBy>
  <cp:revision>4</cp:revision>
  <dcterms:created xsi:type="dcterms:W3CDTF">2025-08-25T09:13:00Z</dcterms:created>
  <dcterms:modified xsi:type="dcterms:W3CDTF">2025-08-27T05:03:00Z</dcterms:modified>
</cp:coreProperties>
</file>